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F0" w:rsidRDefault="00C419F0" w:rsidP="00C419F0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C419F0" w:rsidRPr="008D4F4C" w:rsidRDefault="00C419F0" w:rsidP="00C419F0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hanging="644"/>
        <w:rPr>
          <w:rFonts w:ascii="EuropeDemi" w:hAnsi="EuropeDemi"/>
          <w:b/>
          <w:szCs w:val="24"/>
        </w:rPr>
      </w:pPr>
      <w:r>
        <w:rPr>
          <w:rFonts w:ascii="EuropeDemi" w:hAnsi="EuropeDemi"/>
          <w:b/>
          <w:szCs w:val="24"/>
        </w:rPr>
        <w:t xml:space="preserve"> </w:t>
      </w:r>
      <w:r w:rsidRPr="008D4F4C">
        <w:rPr>
          <w:rFonts w:ascii="EuropeDemi" w:hAnsi="EuropeDemi"/>
          <w:b/>
          <w:szCs w:val="24"/>
        </w:rPr>
        <w:t>РАСПОЛОЖЕНИЕ ФЛАГШТОКОВ</w:t>
      </w:r>
    </w:p>
    <w:p w:rsidR="00C419F0" w:rsidRPr="008D4F4C" w:rsidRDefault="00C419F0" w:rsidP="00C419F0">
      <w:pPr>
        <w:tabs>
          <w:tab w:val="num" w:pos="284"/>
        </w:tabs>
        <w:ind w:hanging="644"/>
        <w:jc w:val="both"/>
        <w:rPr>
          <w:rFonts w:ascii="EuropeDemi" w:hAnsi="EuropeDemi"/>
        </w:rPr>
      </w:pPr>
    </w:p>
    <w:p w:rsidR="00C419F0" w:rsidRPr="008D4F4C" w:rsidRDefault="00C419F0" w:rsidP="00C419F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EuropeDemi" w:hAnsi="EuropeDemi"/>
          <w:color w:val="000000"/>
        </w:rPr>
      </w:pPr>
      <w:r w:rsidRPr="008D4F4C">
        <w:rPr>
          <w:rFonts w:ascii="EuropeDemi" w:hAnsi="EuropeDemi"/>
          <w:color w:val="000000"/>
        </w:rPr>
        <w:t>Для достижения максимального эффекта зрелищности (свободное обозрение, хорошая видимость). Перед тем как установить флагшток, необходимо выбрать подходящее место его установки</w:t>
      </w:r>
    </w:p>
    <w:p w:rsidR="00C419F0" w:rsidRPr="008D4F4C" w:rsidRDefault="00C419F0" w:rsidP="00C419F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EuropeDemi" w:hAnsi="EuropeDemi"/>
          <w:b/>
          <w:color w:val="000000"/>
        </w:rPr>
      </w:pPr>
      <w:r w:rsidRPr="008D4F4C">
        <w:rPr>
          <w:rFonts w:ascii="EuropeDemi" w:hAnsi="EuropeDemi"/>
          <w:b/>
          <w:color w:val="000000"/>
        </w:rPr>
        <w:t xml:space="preserve">Расстояние между флагштоками рассчитывается как 2 ширины флага + </w:t>
      </w:r>
      <w:smartTag w:uri="urn:schemas-microsoft-com:office:smarttags" w:element="metricconverter">
        <w:smartTagPr>
          <w:attr w:name="ProductID" w:val="0.5 м"/>
        </w:smartTagPr>
        <w:r w:rsidRPr="008D4F4C">
          <w:rPr>
            <w:rFonts w:ascii="EuropeDemi" w:hAnsi="EuropeDemi"/>
            <w:b/>
            <w:color w:val="000000"/>
          </w:rPr>
          <w:t>0.5 м</w:t>
        </w:r>
      </w:smartTag>
      <w:r w:rsidRPr="008D4F4C">
        <w:rPr>
          <w:rFonts w:ascii="EuropeDemi" w:hAnsi="EuropeDemi"/>
          <w:b/>
          <w:color w:val="000000"/>
        </w:rPr>
        <w:t>.</w:t>
      </w:r>
    </w:p>
    <w:p w:rsidR="00C419F0" w:rsidRPr="008D4F4C" w:rsidRDefault="00C419F0" w:rsidP="00C419F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EuropeDemi" w:hAnsi="EuropeDemi"/>
          <w:color w:val="000000"/>
        </w:rPr>
      </w:pPr>
      <w:r w:rsidRPr="008D4F4C">
        <w:rPr>
          <w:rFonts w:ascii="EuropeDemi" w:hAnsi="EuropeDemi"/>
          <w:color w:val="000000"/>
        </w:rPr>
        <w:t xml:space="preserve">Для наглядной демонстрации флага расстояние между зданием и флагом должно составлять не менее </w:t>
      </w:r>
      <w:smartTag w:uri="urn:schemas-microsoft-com:office:smarttags" w:element="metricconverter">
        <w:smartTagPr>
          <w:attr w:name="ProductID" w:val="2 м"/>
        </w:smartTagPr>
        <w:r w:rsidRPr="008D4F4C">
          <w:rPr>
            <w:rFonts w:ascii="EuropeDemi" w:hAnsi="EuropeDemi"/>
            <w:color w:val="000000"/>
          </w:rPr>
          <w:t>2 м</w:t>
        </w:r>
      </w:smartTag>
      <w:r w:rsidRPr="008D4F4C">
        <w:rPr>
          <w:rFonts w:ascii="EuropeDemi" w:hAnsi="EuropeDemi"/>
          <w:color w:val="000000"/>
        </w:rPr>
        <w:t>.</w:t>
      </w:r>
    </w:p>
    <w:p w:rsidR="00C419F0" w:rsidRPr="008D4F4C" w:rsidRDefault="00C419F0" w:rsidP="00C419F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EuropeDemi" w:hAnsi="EuropeDemi"/>
          <w:color w:val="000000"/>
        </w:rPr>
      </w:pPr>
      <w:r w:rsidRPr="008D4F4C">
        <w:rPr>
          <w:rFonts w:ascii="EuropeDemi" w:hAnsi="EuropeDemi"/>
          <w:color w:val="000000"/>
        </w:rPr>
        <w:t>Бетонные основания и фиксирующие болты должны быть установлены таким образом, чтобы был соблюден принцип прямолинейности. Также необходимо обратить внимание на перпендикулярность при установке анкерных болтов (стержней с резьбой).</w:t>
      </w:r>
    </w:p>
    <w:p w:rsidR="00C419F0" w:rsidRDefault="00C419F0" w:rsidP="00C419F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EuropeDemi" w:hAnsi="EuropeDemi"/>
          <w:color w:val="000000"/>
        </w:rPr>
      </w:pPr>
      <w:r w:rsidRPr="008D4F4C">
        <w:rPr>
          <w:rFonts w:ascii="EuropeDemi" w:hAnsi="EuropeDemi"/>
          <w:color w:val="000000"/>
        </w:rPr>
        <w:t>При установке шарнира флагштока необходимо учесть отсутствие препятствий, при  подъеме и опускании мачты</w:t>
      </w:r>
      <w:r>
        <w:rPr>
          <w:rFonts w:ascii="EuropeDemi" w:hAnsi="EuropeDemi"/>
          <w:color w:val="000000"/>
        </w:rPr>
        <w:t>.</w:t>
      </w:r>
    </w:p>
    <w:p w:rsidR="00C419F0" w:rsidRPr="008D4F4C" w:rsidRDefault="00C419F0" w:rsidP="00C419F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EuropeDemi" w:hAnsi="EuropeDemi"/>
          <w:color w:val="000000"/>
        </w:rPr>
      </w:pPr>
    </w:p>
    <w:p w:rsidR="00C419F0" w:rsidRPr="008D4F4C" w:rsidRDefault="00C419F0" w:rsidP="00C419F0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hanging="644"/>
        <w:rPr>
          <w:rFonts w:ascii="EuropeDemi" w:hAnsi="EuropeDemi"/>
          <w:b/>
          <w:szCs w:val="24"/>
        </w:rPr>
      </w:pPr>
      <w:r w:rsidRPr="008D4F4C">
        <w:rPr>
          <w:rFonts w:ascii="EuropeDemi" w:hAnsi="EuropeDemi"/>
          <w:b/>
          <w:szCs w:val="24"/>
        </w:rPr>
        <w:t xml:space="preserve"> ТРЕБОВАНИЯ БЕЗОПАСНОСТИ</w:t>
      </w:r>
    </w:p>
    <w:p w:rsidR="00C419F0" w:rsidRPr="008D4F4C" w:rsidRDefault="00C419F0" w:rsidP="00C419F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EuropeDemi" w:hAnsi="EuropeDemi"/>
          <w:color w:val="000000"/>
        </w:rPr>
      </w:pPr>
      <w:r w:rsidRPr="008D4F4C">
        <w:rPr>
          <w:rFonts w:ascii="EuropeDemi" w:hAnsi="EuropeDemi"/>
          <w:color w:val="000000"/>
        </w:rPr>
        <w:t>При производстве погрузо-разгрузочных работ и работ по монтажу изделий следует руководствов</w:t>
      </w:r>
      <w:r>
        <w:rPr>
          <w:rFonts w:ascii="EuropeDemi" w:hAnsi="EuropeDemi"/>
          <w:color w:val="000000"/>
        </w:rPr>
        <w:t xml:space="preserve">аться требованиям </w:t>
      </w:r>
      <w:proofErr w:type="spellStart"/>
      <w:r>
        <w:rPr>
          <w:rFonts w:ascii="EuropeDemi" w:hAnsi="EuropeDemi"/>
          <w:color w:val="000000"/>
        </w:rPr>
        <w:t>СНиП</w:t>
      </w:r>
      <w:proofErr w:type="spellEnd"/>
      <w:r>
        <w:rPr>
          <w:rFonts w:ascii="EuropeDemi" w:hAnsi="EuropeDemi"/>
          <w:color w:val="000000"/>
        </w:rPr>
        <w:t xml:space="preserve"> III-4-80</w:t>
      </w:r>
      <w:r w:rsidRPr="008D4F4C">
        <w:rPr>
          <w:rFonts w:ascii="EuropeDemi" w:hAnsi="EuropeDemi"/>
          <w:color w:val="000000"/>
        </w:rPr>
        <w:t xml:space="preserve"> «Техника безопасности в строительстве», производственных инструкций и инструкций по монтажу и эксплуатации.</w:t>
      </w:r>
    </w:p>
    <w:p w:rsidR="00C419F0" w:rsidRDefault="00C419F0" w:rsidP="00C419F0">
      <w:pPr>
        <w:ind w:firstLine="284"/>
        <w:rPr>
          <w:rFonts w:ascii="EuropeDemi" w:hAnsi="EuropeDemi"/>
        </w:rPr>
      </w:pPr>
    </w:p>
    <w:p w:rsidR="00000000" w:rsidRDefault="00C419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uropeDemi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D6A"/>
    <w:multiLevelType w:val="hybridMultilevel"/>
    <w:tmpl w:val="317CAD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9F0"/>
    <w:rsid w:val="00C4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4">
    <w:name w:val="Основной текст Знак"/>
    <w:basedOn w:val="a0"/>
    <w:link w:val="a3"/>
    <w:rsid w:val="00C419F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2011-04-21T12:19:00Z</dcterms:created>
  <dcterms:modified xsi:type="dcterms:W3CDTF">2011-04-21T12:19:00Z</dcterms:modified>
</cp:coreProperties>
</file>